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7B2DF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Koruma ve Güvenlik Görevlisi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B2DF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Koruma ve Güvenlik Şefi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B2DF4" w:rsidRDefault="007B2DF4" w:rsidP="00C060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7B2DF4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7B2DF4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C869B2">
              <w:rPr>
                <w:rFonts w:ascii="Cambria" w:hAnsi="Cambria"/>
                <w:sz w:val="20"/>
                <w:szCs w:val="20"/>
              </w:rPr>
              <w:t>.</w:t>
            </w:r>
            <w:r w:rsidR="004E5B6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E5B6A" w:rsidRPr="00F71153">
              <w:rPr>
                <w:rFonts w:ascii="Cambria" w:hAnsi="Cambria"/>
                <w:sz w:val="20"/>
                <w:szCs w:val="20"/>
              </w:rPr>
              <w:t>Kampüs içerisinde, hukuk kurallarına uygun talimatlar ve ilgili mevzuat çerçevesinde, fiziki ve teknik imkânları kullanarak, can, mal güvenliği ve huzuru sağlamak için gözetim, denetim ve kontrol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color w:val="000000"/>
                <w:sz w:val="20"/>
                <w:szCs w:val="20"/>
              </w:rPr>
              <w:t>Görev noktalarında bulunan talimatları yerine getirmek</w:t>
            </w:r>
            <w:r w:rsidR="00C869B2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color w:val="000000"/>
                <w:sz w:val="20"/>
                <w:szCs w:val="20"/>
              </w:rPr>
              <w:t>Görev noktalarında kullanılan malzeme, teçhizat ve eşyaların her zaman hazır ve çalışır vaziyette olmasını sağlamak</w:t>
            </w:r>
            <w:r w:rsidR="00C869B2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color w:val="000000"/>
                <w:sz w:val="20"/>
                <w:szCs w:val="20"/>
              </w:rPr>
              <w:t>Görevli noktalarında kimlik kontrolü yapmak, gerektiğinde üst araması yapmak</w:t>
            </w:r>
            <w:r w:rsidR="00C869B2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color w:val="000000"/>
                <w:sz w:val="20"/>
                <w:szCs w:val="20"/>
              </w:rPr>
              <w:t>Görev alanındaki her türlü arıza, aksaklık ve olay ile ilgili form, tutanak vs. düzenlemek ve amirine iletmek</w:t>
            </w:r>
            <w:r w:rsidR="00C869B2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color w:val="000000"/>
                <w:sz w:val="20"/>
                <w:szCs w:val="20"/>
              </w:rPr>
              <w:t>Nizamiye kapılarından yerleşkeye giren ve çıkan araçların denetimini yapmak, Araç Giriş Kartı ile geçişlerin kontrolünü sağlamak</w:t>
            </w:r>
            <w:r w:rsidR="00C869B2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  <w:r w:rsidRPr="007B2DF4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Üniversite yerleşkesinde meydana gelebilecek sabotaj, yangın, hırsızlık, yağma, zorla işten alıkoyma gibi her çeşit tehdit, tehlike ve tecavüzün önlenmesi için amiri tarafından verilen görevleri yapmak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Sivil savunma ve itfaiye birimlerinin görevlerini yerine getirmesinde yardımcı olmak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E5B6A" w:rsidRPr="004E5B6A" w:rsidRDefault="004E5B6A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F71153">
              <w:rPr>
                <w:rFonts w:ascii="Cambria" w:hAnsi="Cambria"/>
                <w:sz w:val="20"/>
                <w:szCs w:val="20"/>
              </w:rPr>
              <w:t>Ziyaretçiler ile ilgili kayıt tutulması ve ziyaretçilerin güvenli şekilde ilgili personel ile görüşmesini sağlamak,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Üniversite yerleşkesinde meydana gelen suçlarda kolluk kuvvetlerine yardımcı olmak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7B2DF4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İzinsiz ilan ve pankart asılması, bildiri dağıtılması, toplu eylemde bulunulması gibi olaylara müdahale etmek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7B2DF4" w:rsidRDefault="007B2DF4" w:rsidP="004E5B6A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Amiri tarafından verilen diğer iş ve işlemleri yerine getirmek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869B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Default="007B2DF4" w:rsidP="004E5B6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E5B6A" w:rsidRPr="00F71153" w:rsidRDefault="004E5B6A" w:rsidP="004E5B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Cambria" w:eastAsia="Times New Roman" w:hAnsi="Cambria"/>
                <w:color w:val="202020"/>
                <w:sz w:val="20"/>
                <w:szCs w:val="20"/>
              </w:rPr>
            </w:pPr>
            <w:r w:rsidRPr="00F71153">
              <w:rPr>
                <w:rFonts w:ascii="Cambria" w:eastAsia="Times New Roman" w:hAnsi="Cambria"/>
                <w:color w:val="202020"/>
                <w:sz w:val="20"/>
                <w:szCs w:val="20"/>
              </w:rPr>
              <w:t>En az ön lisans mezunu olan ve güvenlik sertifikasına sahip olmak</w:t>
            </w:r>
          </w:p>
          <w:p w:rsidR="004E5B6A" w:rsidRPr="007B2DF4" w:rsidRDefault="004E5B6A" w:rsidP="004E5B6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71153">
              <w:rPr>
                <w:rFonts w:ascii="Cambria" w:eastAsia="Times New Roman" w:hAnsi="Cambria"/>
                <w:color w:val="202020"/>
                <w:sz w:val="20"/>
                <w:szCs w:val="20"/>
              </w:rPr>
              <w:t>Sicili temiz olmak</w:t>
            </w:r>
            <w:bookmarkStart w:id="0" w:name="_GoBack"/>
            <w:bookmarkEnd w:id="0"/>
          </w:p>
          <w:p w:rsidR="007B2DF4" w:rsidRPr="007B2DF4" w:rsidRDefault="007B2DF4" w:rsidP="004E5B6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C869B2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B2DF4" w:rsidRDefault="007B2DF4" w:rsidP="004E5B6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B2DF4">
              <w:rPr>
                <w:rFonts w:ascii="Cambria" w:hAnsi="Cambria"/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  <w:r w:rsidR="00C869B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C869B2">
        <w:trPr>
          <w:trHeight w:val="257"/>
        </w:trPr>
        <w:tc>
          <w:tcPr>
            <w:tcW w:w="10203" w:type="dxa"/>
            <w:shd w:val="clear" w:color="auto" w:fill="auto"/>
          </w:tcPr>
          <w:p w:rsidR="004E5B6A" w:rsidRDefault="004E5B6A" w:rsidP="004E5B6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="Cambria" w:eastAsia="Times New Roman" w:hAnsi="Cambria"/>
                <w:color w:val="202020"/>
                <w:sz w:val="20"/>
                <w:szCs w:val="20"/>
              </w:rPr>
            </w:pPr>
            <w:r w:rsidRPr="00F71153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E5B6A" w:rsidRDefault="004E5B6A" w:rsidP="004E5B6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="Cambria" w:eastAsia="Times New Roman" w:hAnsi="Cambria"/>
                <w:color w:val="202020"/>
                <w:sz w:val="20"/>
                <w:szCs w:val="20"/>
              </w:rPr>
            </w:pPr>
            <w:r w:rsidRPr="00F71153">
              <w:rPr>
                <w:rFonts w:ascii="Cambria" w:hAnsi="Cambria"/>
                <w:sz w:val="20"/>
                <w:szCs w:val="20"/>
              </w:rPr>
              <w:t>4857 Sayılı İş Kanunu ve İlgili Yönetmelikler</w:t>
            </w:r>
          </w:p>
          <w:p w:rsidR="004E5B6A" w:rsidRDefault="004E5B6A" w:rsidP="004E5B6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="Cambria" w:eastAsia="Times New Roman" w:hAnsi="Cambria"/>
                <w:color w:val="202020"/>
                <w:sz w:val="20"/>
                <w:szCs w:val="20"/>
              </w:rPr>
            </w:pPr>
            <w:r w:rsidRPr="00F71153">
              <w:rPr>
                <w:rFonts w:ascii="Cambria" w:hAnsi="Cambria"/>
                <w:sz w:val="20"/>
                <w:szCs w:val="20"/>
              </w:rPr>
              <w:t>5188 Sayılı Özel Güvenlik Hizmetlerine Dair Kanun ve İlgili Yönetmelikler</w:t>
            </w:r>
          </w:p>
          <w:p w:rsidR="00D53349" w:rsidRPr="00D53349" w:rsidRDefault="004E5B6A" w:rsidP="004E5B6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71153">
              <w:rPr>
                <w:rFonts w:ascii="Cambria" w:hAnsi="Cambria"/>
                <w:sz w:val="20"/>
                <w:szCs w:val="20"/>
              </w:rPr>
              <w:t>6331 Sayılı İş Sağlığı ve Güvenliği Kanunu ve İlgili Yönetmelikler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5A" w:rsidRDefault="0087415A">
      <w:pPr>
        <w:spacing w:after="0" w:line="240" w:lineRule="auto"/>
      </w:pPr>
      <w:r>
        <w:separator/>
      </w:r>
    </w:p>
  </w:endnote>
  <w:endnote w:type="continuationSeparator" w:id="0">
    <w:p w:rsidR="0087415A" w:rsidRDefault="0087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E5B6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E5B6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5A" w:rsidRDefault="0087415A">
      <w:pPr>
        <w:spacing w:after="0" w:line="240" w:lineRule="auto"/>
      </w:pPr>
      <w:r>
        <w:separator/>
      </w:r>
    </w:p>
  </w:footnote>
  <w:footnote w:type="continuationSeparator" w:id="0">
    <w:p w:rsidR="0087415A" w:rsidRDefault="0087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7415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77016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276B"/>
    <w:multiLevelType w:val="hybridMultilevel"/>
    <w:tmpl w:val="A2947E6A"/>
    <w:lvl w:ilvl="0" w:tplc="0A969B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605"/>
    <w:multiLevelType w:val="hybridMultilevel"/>
    <w:tmpl w:val="C3F89018"/>
    <w:lvl w:ilvl="0" w:tplc="87A093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9455F"/>
    <w:multiLevelType w:val="hybridMultilevel"/>
    <w:tmpl w:val="09488198"/>
    <w:lvl w:ilvl="0" w:tplc="3BF6C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5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13"/>
  </w:num>
  <w:num w:numId="15">
    <w:abstractNumId w:val="9"/>
  </w:num>
  <w:num w:numId="16">
    <w:abstractNumId w:val="1"/>
  </w:num>
  <w:num w:numId="17">
    <w:abstractNumId w:val="16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2DE5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C1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5B6A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2DF4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415A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779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0A2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9B2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B7F5-32A9-4ADF-B171-565DCA55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2021-11-14T15:11:00Z</dcterms:created>
  <dcterms:modified xsi:type="dcterms:W3CDTF">2021-11-30T06:36:00Z</dcterms:modified>
</cp:coreProperties>
</file>